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bCs/>
          <w:snapToGrid w:val="0"/>
          <w:kern w:val="0"/>
          <w:sz w:val="30"/>
          <w:szCs w:val="30"/>
        </w:rPr>
      </w:pPr>
      <w:r>
        <w:rPr>
          <w:rFonts w:hint="eastAsia" w:ascii="黑体" w:hAnsi="黑体" w:eastAsia="黑体" w:cs="仿宋_GB2312"/>
          <w:bCs/>
          <w:snapToGrid w:val="0"/>
          <w:kern w:val="0"/>
          <w:sz w:val="30"/>
          <w:szCs w:val="30"/>
        </w:rPr>
        <w:t>附件2：</w:t>
      </w:r>
    </w:p>
    <w:p>
      <w:pPr>
        <w:spacing w:line="360" w:lineRule="auto"/>
        <w:ind w:firstLine="2209" w:firstLineChars="500"/>
        <w:rPr>
          <w:rFonts w:ascii="黑体" w:hAnsi="黑体" w:eastAsia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sz w:val="44"/>
          <w:szCs w:val="44"/>
        </w:rPr>
        <w:t>采  购  须  知</w:t>
      </w:r>
      <w:bookmarkEnd w:id="0"/>
    </w:p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1、供应商报价必须以人民币报价。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2、供应商必须按询价文件指定格式要求正确填写各种价格单，价格单中相应内容的报价应计算正确。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3、漏报的单价或每单价报价中漏报、少报的费用，视为此项费用已隐含在报价总价中，中标后不得再向采购人收取任何费用。</w:t>
      </w:r>
    </w:p>
    <w:p>
      <w:pPr>
        <w:ind w:firstLine="750" w:firstLineChars="25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4、所有报价应包含本项目的所有费用（包含国家规定的所有税费）。</w:t>
      </w:r>
    </w:p>
    <w:p>
      <w:pPr>
        <w:spacing w:line="360" w:lineRule="auto"/>
        <w:ind w:firstLine="750" w:firstLineChars="2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5、有下列情况之一出现的为无效文件：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文件未密封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文件不完整、不真实或未对询价文件做出实质的响应导致报价无效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报价低于企业的成本价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文件逾期送达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6、本次项目评分采取综合评分。</w:t>
      </w:r>
    </w:p>
    <w:p>
      <w:pPr>
        <w:pStyle w:val="2"/>
        <w:jc w:val="center"/>
        <w:rPr>
          <w:rFonts w:hAnsi="宋体" w:cs="Arial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Y2NlODc4M2NiZmMxMzc2NThlZTkzMjIxNGEzOGEifQ=="/>
  </w:docVars>
  <w:rsids>
    <w:rsidRoot w:val="2D702B39"/>
    <w:rsid w:val="2D70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semiHidden/>
    <w:unhideWhenUsed/>
    <w:qFormat/>
    <w:uiPriority w:val="0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hAnsi="Times New Roman" w:eastAsia="宋体" w:cs="宋体"/>
      <w:kern w:val="0"/>
      <w:szCs w:val="2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annotation subject"/>
    <w:basedOn w:val="4"/>
    <w:next w:val="1"/>
    <w:qFormat/>
    <w:uiPriority w:val="0"/>
    <w:rPr>
      <w:b/>
      <w:bCs/>
    </w:rPr>
  </w:style>
  <w:style w:type="paragraph" w:styleId="7">
    <w:name w:val="Body Text First Indent 2"/>
    <w:basedOn w:val="5"/>
    <w:next w:val="8"/>
    <w:qFormat/>
    <w:uiPriority w:val="0"/>
    <w:pPr>
      <w:widowControl/>
      <w:spacing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customStyle="1" w:styleId="8">
    <w:name w:val="正文1"/>
    <w:basedOn w:val="1"/>
    <w:qFormat/>
    <w:uiPriority w:val="99"/>
    <w:pPr>
      <w:widowControl/>
      <w:topLinePunct/>
      <w:spacing w:beforeLines="50" w:afterLines="50" w:line="300" w:lineRule="auto"/>
      <w:ind w:left="42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2022-08-16T08:18:00Z</dcterms:created>
  <dc:creator>LP</dc:creator>
  <cp:lastModifiedBy>LP</cp:lastModifiedBy>
  <dcterms:modified xsi:type="dcterms:W3CDTF">2022-08-16T08:34:37Z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6996BC69FDCC4DB9A52EA36B6919A8FC</vt:lpwstr>
  </property>
</Properties>
</file>